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9DE5" w14:textId="77777777" w:rsidR="00481A7F" w:rsidRDefault="00481A7F"/>
    <w:p w14:paraId="1F611922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6B0DF701" w14:textId="46AF816B" w:rsidR="00E75908" w:rsidRDefault="00E75908" w:rsidP="00E75908">
      <w:pPr>
        <w:tabs>
          <w:tab w:val="left" w:pos="3600"/>
        </w:tabs>
      </w:pPr>
      <w:r>
        <w:t xml:space="preserve">KCDE060 Sheet 01 </w:t>
      </w:r>
      <w:r w:rsidR="00C76E12">
        <w:t xml:space="preserve">of </w:t>
      </w:r>
      <w:r w:rsidR="00BE4336" w:rsidRPr="00BE4336">
        <w:t>31</w:t>
      </w:r>
      <w:r>
        <w:tab/>
        <w:t>Fixed</w:t>
      </w:r>
      <w:r w:rsidR="00267631">
        <w:t xml:space="preserve"> with horizontal and vertical</w:t>
      </w:r>
    </w:p>
    <w:p w14:paraId="2C940186" w14:textId="46910820" w:rsidR="00267631" w:rsidRDefault="00267631" w:rsidP="00E75908">
      <w:pPr>
        <w:tabs>
          <w:tab w:val="left" w:pos="3600"/>
        </w:tabs>
      </w:pPr>
      <w:r>
        <w:t xml:space="preserve">KCDE060 Sheet 02 of </w:t>
      </w:r>
      <w:r w:rsidR="00BE4336" w:rsidRPr="00BE4336">
        <w:t>31</w:t>
      </w:r>
      <w:r>
        <w:tab/>
        <w:t>Fixed without horizontal or vertical</w:t>
      </w:r>
    </w:p>
    <w:p w14:paraId="11C9D069" w14:textId="293094B6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3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Project-Out</w:t>
      </w:r>
    </w:p>
    <w:p w14:paraId="064D071E" w14:textId="52009462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4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Project-Out beside Project-Out</w:t>
      </w:r>
    </w:p>
    <w:p w14:paraId="5416BB80" w14:textId="53D89ABC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5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Project-Out</w:t>
      </w:r>
    </w:p>
    <w:p w14:paraId="072400C9" w14:textId="18B7707A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6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Project-Out over Fixed</w:t>
      </w:r>
    </w:p>
    <w:p w14:paraId="0B3EC5FC" w14:textId="5EFA43F6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7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with Horizontal over Project-Out</w:t>
      </w:r>
    </w:p>
    <w:p w14:paraId="023E1969" w14:textId="15C4042F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8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Project-Out beside Project-Out</w:t>
      </w:r>
    </w:p>
    <w:p w14:paraId="236181DA" w14:textId="27313B97" w:rsidR="00E75908" w:rsidRDefault="00E75908" w:rsidP="00E75908">
      <w:pPr>
        <w:tabs>
          <w:tab w:val="left" w:pos="3600"/>
        </w:tabs>
      </w:pPr>
      <w:r>
        <w:t>KCDE060 Sheet 0</w:t>
      </w:r>
      <w:r w:rsidR="00267631">
        <w:t>9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with Vertical over Project-Out beside Project-Out</w:t>
      </w:r>
    </w:p>
    <w:p w14:paraId="6EBF3E38" w14:textId="21CE2374" w:rsidR="00E75908" w:rsidRDefault="00E75908" w:rsidP="00E75908">
      <w:pPr>
        <w:tabs>
          <w:tab w:val="left" w:pos="3600"/>
        </w:tabs>
      </w:pPr>
      <w:r>
        <w:t xml:space="preserve">KCDE060 Sheet </w:t>
      </w:r>
      <w:r w:rsidR="00267631">
        <w:t>10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Project-In</w:t>
      </w:r>
    </w:p>
    <w:p w14:paraId="39C2D9C3" w14:textId="1119C5A2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1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Project-In beside Project-In</w:t>
      </w:r>
    </w:p>
    <w:p w14:paraId="0328EB94" w14:textId="6E35D087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2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Project-In</w:t>
      </w:r>
    </w:p>
    <w:p w14:paraId="53E24928" w14:textId="1E09EED9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3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with Horizontal over Project-In</w:t>
      </w:r>
    </w:p>
    <w:p w14:paraId="2B1D6CCF" w14:textId="56D8BC7B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4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Project-In beside Project-In</w:t>
      </w:r>
    </w:p>
    <w:p w14:paraId="22E4138C" w14:textId="1A0630AA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5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with Vertical over Project-In beside Project-In</w:t>
      </w:r>
    </w:p>
    <w:p w14:paraId="22CEAD3D" w14:textId="6C55BE6B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6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Outswing Casement</w:t>
      </w:r>
    </w:p>
    <w:p w14:paraId="6DD8CCA8" w14:textId="0275A698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7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Outswing Casement beside Outswing Casement</w:t>
      </w:r>
    </w:p>
    <w:p w14:paraId="31303E85" w14:textId="2C4EE1AE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8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Outswing Casement</w:t>
      </w:r>
    </w:p>
    <w:p w14:paraId="22DB46F7" w14:textId="4312F924" w:rsidR="00E75908" w:rsidRDefault="00E75908" w:rsidP="00E75908">
      <w:pPr>
        <w:tabs>
          <w:tab w:val="left" w:pos="3600"/>
        </w:tabs>
      </w:pPr>
      <w:r>
        <w:t>KCDE060 Sheet 1</w:t>
      </w:r>
      <w:r w:rsidR="00267631">
        <w:t>9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Outswing Casement beside Outswing Casement</w:t>
      </w:r>
    </w:p>
    <w:p w14:paraId="513E329E" w14:textId="2B4D3FB5" w:rsidR="00E75908" w:rsidRDefault="00E75908" w:rsidP="00E75908">
      <w:pPr>
        <w:tabs>
          <w:tab w:val="left" w:pos="3600"/>
        </w:tabs>
      </w:pPr>
      <w:r>
        <w:t xml:space="preserve">KCDE060 Sheet </w:t>
      </w:r>
      <w:r w:rsidR="00267631">
        <w:t>20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 xml:space="preserve">Fixed with Vertical over Outswing Casement beside Outswing </w:t>
      </w:r>
      <w:r>
        <w:tab/>
        <w:t>Casement</w:t>
      </w:r>
    </w:p>
    <w:p w14:paraId="5A28BCC6" w14:textId="77777777" w:rsidR="00E75908" w:rsidRDefault="00E75908" w:rsidP="00E75908">
      <w:pPr>
        <w:tabs>
          <w:tab w:val="left" w:pos="3600"/>
        </w:tabs>
      </w:pPr>
    </w:p>
    <w:p w14:paraId="67DEEEEA" w14:textId="77777777" w:rsidR="00E75908" w:rsidRDefault="00E75908" w:rsidP="00E75908">
      <w:pPr>
        <w:tabs>
          <w:tab w:val="left" w:pos="3600"/>
        </w:tabs>
      </w:pPr>
    </w:p>
    <w:p w14:paraId="6E8071EE" w14:textId="77777777" w:rsidR="00E75908" w:rsidRDefault="00E75908" w:rsidP="00E75908">
      <w:pPr>
        <w:tabs>
          <w:tab w:val="left" w:pos="3600"/>
        </w:tabs>
        <w:rPr>
          <w:b/>
          <w:u w:val="single"/>
        </w:rPr>
      </w:pPr>
    </w:p>
    <w:p w14:paraId="509F9904" w14:textId="77777777" w:rsidR="00E75908" w:rsidRDefault="00E75908" w:rsidP="00E75908">
      <w:pPr>
        <w:tabs>
          <w:tab w:val="left" w:pos="3600"/>
        </w:tabs>
        <w:rPr>
          <w:b/>
          <w:u w:val="single"/>
        </w:rPr>
      </w:pPr>
      <w:r>
        <w:rPr>
          <w:b/>
          <w:u w:val="single"/>
        </w:rPr>
        <w:t>Drawing Name</w:t>
      </w:r>
      <w:r>
        <w:rPr>
          <w:b/>
        </w:rPr>
        <w:tab/>
      </w:r>
      <w:r>
        <w:rPr>
          <w:b/>
          <w:u w:val="single"/>
        </w:rPr>
        <w:t>Description</w:t>
      </w:r>
    </w:p>
    <w:p w14:paraId="15BE1B7A" w14:textId="6591917E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1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Inswing Casement</w:t>
      </w:r>
    </w:p>
    <w:p w14:paraId="3930D5D0" w14:textId="579B93F0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2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Inswing Casement beside Inswing Casement</w:t>
      </w:r>
    </w:p>
    <w:p w14:paraId="218752C6" w14:textId="5BA531E6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3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Inswing Casement</w:t>
      </w:r>
    </w:p>
    <w:p w14:paraId="5F7F30F9" w14:textId="6B143BBB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4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Fixed over Inswing Casement beside Inswing Casement</w:t>
      </w:r>
    </w:p>
    <w:p w14:paraId="2D869F65" w14:textId="7920FE95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5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 xml:space="preserve">Fixed with Vertical over Inswing Casement beside Inswing </w:t>
      </w:r>
      <w:r>
        <w:tab/>
        <w:t>Casement</w:t>
      </w:r>
    </w:p>
    <w:p w14:paraId="209D9E7D" w14:textId="2E726369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6</w:t>
      </w:r>
      <w:r>
        <w:t xml:space="preserve"> </w:t>
      </w:r>
      <w:r w:rsidR="00C76E12">
        <w:t xml:space="preserve">of </w:t>
      </w:r>
      <w:r w:rsidR="00BE4336" w:rsidRPr="00BE4336">
        <w:t>31</w:t>
      </w:r>
      <w:r>
        <w:tab/>
        <w:t>Inswing Casement beside Fixed</w:t>
      </w:r>
    </w:p>
    <w:p w14:paraId="59D5EF1C" w14:textId="4C8470A1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7</w:t>
      </w:r>
      <w:r>
        <w:t xml:space="preserve"> </w:t>
      </w:r>
      <w:r w:rsidR="00C76E12">
        <w:t xml:space="preserve">of </w:t>
      </w:r>
      <w:r w:rsidR="00BE4336">
        <w:t>31</w:t>
      </w:r>
      <w:r>
        <w:tab/>
        <w:t xml:space="preserve">Fixed beside Inswing Casement beside Inswing Casement beside </w:t>
      </w:r>
      <w:r>
        <w:tab/>
        <w:t>Fixed</w:t>
      </w:r>
    </w:p>
    <w:p w14:paraId="7F42ECDE" w14:textId="7124B94A" w:rsidR="00E75908" w:rsidRDefault="00E75908" w:rsidP="00E75908">
      <w:pPr>
        <w:tabs>
          <w:tab w:val="left" w:pos="3600"/>
        </w:tabs>
      </w:pPr>
      <w:r>
        <w:t>KCDE060 Sheet 2</w:t>
      </w:r>
      <w:r w:rsidR="00267631">
        <w:t>8</w:t>
      </w:r>
      <w:r>
        <w:t xml:space="preserve"> </w:t>
      </w:r>
      <w:r w:rsidR="00C76E12">
        <w:t xml:space="preserve">of </w:t>
      </w:r>
      <w:r w:rsidR="00BE4336">
        <w:t>31</w:t>
      </w:r>
      <w:r>
        <w:tab/>
      </w:r>
      <w:r w:rsidR="005B3890">
        <w:t>Dual Action</w:t>
      </w:r>
    </w:p>
    <w:p w14:paraId="45860FD6" w14:textId="12272B16" w:rsidR="005B3890" w:rsidRDefault="005B3890" w:rsidP="005B3890">
      <w:pPr>
        <w:tabs>
          <w:tab w:val="left" w:pos="3600"/>
        </w:tabs>
      </w:pPr>
      <w:r>
        <w:t>KCDE060 Sheet 2</w:t>
      </w:r>
      <w:r w:rsidR="00267631">
        <w:t>9</w:t>
      </w:r>
      <w:r>
        <w:t xml:space="preserve"> </w:t>
      </w:r>
      <w:r w:rsidR="00C76E12">
        <w:t xml:space="preserve">of </w:t>
      </w:r>
      <w:r w:rsidR="00BE4336">
        <w:t>31</w:t>
      </w:r>
      <w:r>
        <w:tab/>
      </w:r>
      <w:r w:rsidR="00FA5CE6" w:rsidRPr="00FA5CE6">
        <w:t>Fixed (Outside Glazed)</w:t>
      </w:r>
      <w:r w:rsidR="006D3AAF">
        <w:t xml:space="preserve"> Without Horizontal or Vertical</w:t>
      </w:r>
    </w:p>
    <w:p w14:paraId="3F5F2CA8" w14:textId="776269E9" w:rsidR="00BE4336" w:rsidRPr="00BE4336" w:rsidRDefault="00BE4336" w:rsidP="00BE4336">
      <w:pPr>
        <w:tabs>
          <w:tab w:val="left" w:pos="3600"/>
        </w:tabs>
      </w:pPr>
      <w:r w:rsidRPr="00BE4336">
        <w:t xml:space="preserve">KCDE060 Sheet </w:t>
      </w:r>
      <w:r>
        <w:t>30</w:t>
      </w:r>
      <w:r w:rsidRPr="00BE4336">
        <w:t xml:space="preserve"> of </w:t>
      </w:r>
      <w:r>
        <w:t>31</w:t>
      </w:r>
      <w:r w:rsidRPr="00BE4336">
        <w:tab/>
      </w:r>
      <w:r w:rsidR="008A6BC8" w:rsidRPr="008A6BC8">
        <w:t>Fixed (Outside Glazed) over Project-In (Inside Glazed)</w:t>
      </w:r>
    </w:p>
    <w:p w14:paraId="4140FCBA" w14:textId="6CA4A02B" w:rsidR="00BE4336" w:rsidRPr="00BE4336" w:rsidRDefault="00BE4336" w:rsidP="00BE4336">
      <w:pPr>
        <w:tabs>
          <w:tab w:val="left" w:pos="3600"/>
        </w:tabs>
      </w:pPr>
      <w:r w:rsidRPr="00BE4336">
        <w:t xml:space="preserve">KCDE060 Sheet </w:t>
      </w:r>
      <w:r>
        <w:t>31</w:t>
      </w:r>
      <w:r w:rsidRPr="00BE4336">
        <w:t xml:space="preserve"> of </w:t>
      </w:r>
      <w:r>
        <w:t>31</w:t>
      </w:r>
      <w:r w:rsidRPr="00BE4336">
        <w:tab/>
      </w:r>
      <w:r w:rsidR="00FA5CE6" w:rsidRPr="00FA5CE6">
        <w:t>Receptors, Sub-Sills, Anchors and Panning</w:t>
      </w:r>
    </w:p>
    <w:p w14:paraId="7C6BA7BC" w14:textId="77777777" w:rsidR="00BE4336" w:rsidRDefault="00BE4336" w:rsidP="005B3890">
      <w:pPr>
        <w:tabs>
          <w:tab w:val="left" w:pos="3600"/>
        </w:tabs>
      </w:pPr>
    </w:p>
    <w:p w14:paraId="431A6314" w14:textId="77777777" w:rsidR="00E40967" w:rsidRDefault="00E40967" w:rsidP="00BD5F4E">
      <w:pPr>
        <w:tabs>
          <w:tab w:val="left" w:pos="3600"/>
        </w:tabs>
        <w:ind w:left="3600" w:hanging="3600"/>
      </w:pPr>
    </w:p>
    <w:p w14:paraId="6657C40A" w14:textId="77777777" w:rsidR="007C64EA" w:rsidRDefault="007C64EA" w:rsidP="007C64EA">
      <w:pPr>
        <w:tabs>
          <w:tab w:val="left" w:pos="3600"/>
        </w:tabs>
        <w:ind w:left="3600" w:hanging="3600"/>
      </w:pPr>
    </w:p>
    <w:p w14:paraId="5008A24D" w14:textId="77777777" w:rsidR="00F77565" w:rsidRDefault="00F77565" w:rsidP="00F77565">
      <w:pPr>
        <w:tabs>
          <w:tab w:val="left" w:pos="3600"/>
        </w:tabs>
        <w:ind w:left="3600" w:hanging="3600"/>
      </w:pPr>
    </w:p>
    <w:p w14:paraId="764748AC" w14:textId="77777777" w:rsidR="00F77565" w:rsidRDefault="00F77565" w:rsidP="00F77565">
      <w:pPr>
        <w:tabs>
          <w:tab w:val="left" w:pos="3600"/>
        </w:tabs>
        <w:ind w:left="3600" w:hanging="3600"/>
      </w:pPr>
    </w:p>
    <w:p w14:paraId="27BBF37C" w14:textId="77777777" w:rsidR="00DE0966" w:rsidRDefault="00DE0966" w:rsidP="00DE0966">
      <w:pPr>
        <w:tabs>
          <w:tab w:val="left" w:pos="3600"/>
        </w:tabs>
      </w:pPr>
    </w:p>
    <w:sectPr w:rsidR="00DE0966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57AC" w14:textId="77777777" w:rsidR="00647CDB" w:rsidRDefault="00647CDB" w:rsidP="00B24F6B">
      <w:pPr>
        <w:spacing w:after="0" w:line="240" w:lineRule="auto"/>
      </w:pPr>
      <w:r>
        <w:separator/>
      </w:r>
    </w:p>
  </w:endnote>
  <w:endnote w:type="continuationSeparator" w:id="0">
    <w:p w14:paraId="71A3FA81" w14:textId="77777777" w:rsidR="00647CDB" w:rsidRDefault="00647CDB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5B52" w14:textId="77777777" w:rsidR="00B24F6B" w:rsidRDefault="00B24F6B">
    <w:pPr>
      <w:pStyle w:val="Footer"/>
    </w:pPr>
    <w:r>
      <w:tab/>
    </w:r>
    <w:r w:rsidR="00C51B7F">
      <w:rPr>
        <w:noProof/>
      </w:rPr>
      <w:drawing>
        <wp:inline distT="0" distB="0" distL="0" distR="0" wp14:anchorId="2AF567F5" wp14:editId="23A1F15B">
          <wp:extent cx="1600200" cy="432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CDDC" w14:textId="77777777" w:rsidR="00647CDB" w:rsidRDefault="00647CDB" w:rsidP="00B24F6B">
      <w:pPr>
        <w:spacing w:after="0" w:line="240" w:lineRule="auto"/>
      </w:pPr>
      <w:r>
        <w:separator/>
      </w:r>
    </w:p>
  </w:footnote>
  <w:footnote w:type="continuationSeparator" w:id="0">
    <w:p w14:paraId="56FE8C11" w14:textId="77777777" w:rsidR="00647CDB" w:rsidRDefault="00647CDB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E54C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1BA0677C" w14:textId="0E14A7EA" w:rsidR="00B24F6B" w:rsidRPr="008A6BC8" w:rsidRDefault="00B24F6B">
    <w:pPr>
      <w:pStyle w:val="Header"/>
      <w:rPr>
        <w:b/>
        <w:bCs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r w:rsidR="00C5791E">
      <w:rPr>
        <w:b/>
        <w:bCs/>
      </w:rPr>
      <w:fldChar w:fldCharType="begin"/>
    </w:r>
    <w:r w:rsidR="00C5791E">
      <w:rPr>
        <w:b/>
        <w:bCs/>
      </w:rPr>
      <w:instrText xml:space="preserve"> DOCPROPERTY  "Product ID"  \* MERGEFORMAT </w:instrText>
    </w:r>
    <w:r w:rsidR="00C5791E">
      <w:rPr>
        <w:b/>
        <w:bCs/>
      </w:rPr>
      <w:fldChar w:fldCharType="separate"/>
    </w:r>
    <w:r w:rsidR="005000A2">
      <w:rPr>
        <w:b/>
        <w:bCs/>
      </w:rPr>
      <w:t>97910</w:t>
    </w:r>
    <w:r w:rsidR="00C5791E">
      <w:rPr>
        <w:b/>
        <w:bCs/>
      </w:rPr>
      <w:fldChar w:fldCharType="end"/>
    </w:r>
    <w:r w:rsidR="00E5581F" w:rsidRPr="00E5581F">
      <w:t>-</w:t>
    </w:r>
    <w:r w:rsidR="008A6BC8">
      <w:rPr>
        <w:b/>
        <w:bCs/>
      </w:rPr>
      <w:t>255</w:t>
    </w:r>
    <w:r w:rsidRPr="00E5581F">
      <w:rPr>
        <w:b/>
      </w:rPr>
      <w:t xml:space="preserve"> (</w:t>
    </w:r>
    <w:r w:rsidR="00BE4336">
      <w:rPr>
        <w:b/>
        <w:bCs/>
      </w:rPr>
      <w:t>OCTOBER 2025</w:t>
    </w:r>
    <w:r w:rsidRPr="003824E9">
      <w:rPr>
        <w:b/>
      </w:rPr>
      <w:t>)</w:t>
    </w:r>
  </w:p>
  <w:p w14:paraId="73AEAF79" w14:textId="7AC8A60F" w:rsidR="00B24F6B" w:rsidRPr="0031512A" w:rsidRDefault="00B24F6B">
    <w:pPr>
      <w:pStyle w:val="Header"/>
      <w:rPr>
        <w:b/>
      </w:rPr>
    </w:pPr>
    <w:r w:rsidRPr="003824E9">
      <w:rPr>
        <w:b/>
      </w:rPr>
      <w:t xml:space="preserve">PRODUCT: </w:t>
    </w:r>
    <w:r w:rsidR="00F636CF" w:rsidRPr="0031512A">
      <w:rPr>
        <w:b/>
      </w:rPr>
      <w:fldChar w:fldCharType="begin"/>
    </w:r>
    <w:r w:rsidR="00F636CF" w:rsidRPr="0031512A">
      <w:rPr>
        <w:b/>
      </w:rPr>
      <w:instrText xml:space="preserve"> DOCPROPERTY  "Product Trademark Title"  \* MERGEFORMAT </w:instrText>
    </w:r>
    <w:r w:rsidR="00F636CF" w:rsidRPr="0031512A">
      <w:rPr>
        <w:b/>
      </w:rPr>
      <w:fldChar w:fldCharType="separate"/>
    </w:r>
    <w:r w:rsidR="005000A2" w:rsidRPr="005000A2">
      <w:rPr>
        <w:b/>
        <w:bCs/>
      </w:rPr>
      <w:t>OptiQ® AA® 4325 Series Windows 3-1/4” Depth (1” and 1-3/4</w:t>
    </w:r>
    <w:r w:rsidR="005000A2">
      <w:rPr>
        <w:b/>
      </w:rPr>
      <w:t>" infill, 1" infill with blinds)</w:t>
    </w:r>
    <w:r w:rsidR="00F636CF" w:rsidRPr="0031512A">
      <w:rPr>
        <w:b/>
        <w:bCs/>
      </w:rPr>
      <w:fldChar w:fldCharType="end"/>
    </w:r>
  </w:p>
  <w:p w14:paraId="0F8EB457" w14:textId="77777777" w:rsidR="00433A0A" w:rsidRDefault="00433A0A">
    <w:pPr>
      <w:pStyle w:val="Header"/>
    </w:pPr>
  </w:p>
  <w:p w14:paraId="70A918FC" w14:textId="48DB3129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</w:t>
    </w:r>
    <w:r w:rsidR="00B641BB">
      <w:t>1</w:t>
    </w:r>
    <w:r>
      <w:t>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23961"/>
    <w:rsid w:val="00036FD4"/>
    <w:rsid w:val="0003797F"/>
    <w:rsid w:val="00041ED6"/>
    <w:rsid w:val="000435CA"/>
    <w:rsid w:val="000622D4"/>
    <w:rsid w:val="00067F46"/>
    <w:rsid w:val="000705EB"/>
    <w:rsid w:val="000754BF"/>
    <w:rsid w:val="00086C24"/>
    <w:rsid w:val="000B0610"/>
    <w:rsid w:val="000B7508"/>
    <w:rsid w:val="000D6947"/>
    <w:rsid w:val="000E11DC"/>
    <w:rsid w:val="000E4780"/>
    <w:rsid w:val="000E618C"/>
    <w:rsid w:val="00140110"/>
    <w:rsid w:val="00141CE1"/>
    <w:rsid w:val="00147A9D"/>
    <w:rsid w:val="00162AF8"/>
    <w:rsid w:val="001677BC"/>
    <w:rsid w:val="00181D9B"/>
    <w:rsid w:val="00185ED5"/>
    <w:rsid w:val="001A4725"/>
    <w:rsid w:val="001E5A55"/>
    <w:rsid w:val="001F47E6"/>
    <w:rsid w:val="00201109"/>
    <w:rsid w:val="00202A1A"/>
    <w:rsid w:val="00212174"/>
    <w:rsid w:val="00223DB8"/>
    <w:rsid w:val="00236044"/>
    <w:rsid w:val="00260872"/>
    <w:rsid w:val="002622E3"/>
    <w:rsid w:val="00262738"/>
    <w:rsid w:val="00267631"/>
    <w:rsid w:val="00274F14"/>
    <w:rsid w:val="0027640B"/>
    <w:rsid w:val="002B7EE6"/>
    <w:rsid w:val="003061F9"/>
    <w:rsid w:val="00307E68"/>
    <w:rsid w:val="0031512A"/>
    <w:rsid w:val="00317DDF"/>
    <w:rsid w:val="00325F8C"/>
    <w:rsid w:val="003278E1"/>
    <w:rsid w:val="003326BC"/>
    <w:rsid w:val="00345E2C"/>
    <w:rsid w:val="0037124C"/>
    <w:rsid w:val="003824E9"/>
    <w:rsid w:val="00390818"/>
    <w:rsid w:val="003A4763"/>
    <w:rsid w:val="003B21E7"/>
    <w:rsid w:val="003B74D0"/>
    <w:rsid w:val="003C6809"/>
    <w:rsid w:val="003D0794"/>
    <w:rsid w:val="003D29C6"/>
    <w:rsid w:val="003D7134"/>
    <w:rsid w:val="003E2C68"/>
    <w:rsid w:val="003F09AA"/>
    <w:rsid w:val="003F1CBA"/>
    <w:rsid w:val="004060AA"/>
    <w:rsid w:val="00410285"/>
    <w:rsid w:val="00416857"/>
    <w:rsid w:val="0042215E"/>
    <w:rsid w:val="00432136"/>
    <w:rsid w:val="00433A0A"/>
    <w:rsid w:val="00433B54"/>
    <w:rsid w:val="004420AC"/>
    <w:rsid w:val="00443DE0"/>
    <w:rsid w:val="0045100A"/>
    <w:rsid w:val="004535E5"/>
    <w:rsid w:val="004668C6"/>
    <w:rsid w:val="00472414"/>
    <w:rsid w:val="0047796F"/>
    <w:rsid w:val="00481A7F"/>
    <w:rsid w:val="004C1082"/>
    <w:rsid w:val="004C3B76"/>
    <w:rsid w:val="005000A2"/>
    <w:rsid w:val="005155AD"/>
    <w:rsid w:val="005173CF"/>
    <w:rsid w:val="00541B60"/>
    <w:rsid w:val="005608E4"/>
    <w:rsid w:val="00583791"/>
    <w:rsid w:val="005A4372"/>
    <w:rsid w:val="005B1D5E"/>
    <w:rsid w:val="005B3890"/>
    <w:rsid w:val="005B474F"/>
    <w:rsid w:val="005E1850"/>
    <w:rsid w:val="005F78F0"/>
    <w:rsid w:val="00600603"/>
    <w:rsid w:val="00616F18"/>
    <w:rsid w:val="00647CDB"/>
    <w:rsid w:val="00660D1B"/>
    <w:rsid w:val="00664E04"/>
    <w:rsid w:val="00671899"/>
    <w:rsid w:val="00677037"/>
    <w:rsid w:val="00692027"/>
    <w:rsid w:val="00697258"/>
    <w:rsid w:val="006A03A5"/>
    <w:rsid w:val="006A3551"/>
    <w:rsid w:val="006C2290"/>
    <w:rsid w:val="006D3AAF"/>
    <w:rsid w:val="006E73A1"/>
    <w:rsid w:val="006F01B7"/>
    <w:rsid w:val="00710CC8"/>
    <w:rsid w:val="00716E78"/>
    <w:rsid w:val="00747412"/>
    <w:rsid w:val="007548DF"/>
    <w:rsid w:val="00781335"/>
    <w:rsid w:val="0079085D"/>
    <w:rsid w:val="00791629"/>
    <w:rsid w:val="007B38F9"/>
    <w:rsid w:val="007B52AE"/>
    <w:rsid w:val="007C64EA"/>
    <w:rsid w:val="00803E58"/>
    <w:rsid w:val="00805195"/>
    <w:rsid w:val="008071B7"/>
    <w:rsid w:val="00827D1E"/>
    <w:rsid w:val="00840591"/>
    <w:rsid w:val="008470C2"/>
    <w:rsid w:val="00856F11"/>
    <w:rsid w:val="00863A6D"/>
    <w:rsid w:val="008765B9"/>
    <w:rsid w:val="008A3997"/>
    <w:rsid w:val="008A6BC8"/>
    <w:rsid w:val="008B0AEA"/>
    <w:rsid w:val="008B20EA"/>
    <w:rsid w:val="00905222"/>
    <w:rsid w:val="009137D4"/>
    <w:rsid w:val="00933A4D"/>
    <w:rsid w:val="009874A9"/>
    <w:rsid w:val="00990088"/>
    <w:rsid w:val="00990CDD"/>
    <w:rsid w:val="009D20D8"/>
    <w:rsid w:val="00A27962"/>
    <w:rsid w:val="00A4481E"/>
    <w:rsid w:val="00A45F2A"/>
    <w:rsid w:val="00A5523B"/>
    <w:rsid w:val="00A552B0"/>
    <w:rsid w:val="00A75C5D"/>
    <w:rsid w:val="00A9467B"/>
    <w:rsid w:val="00A9754C"/>
    <w:rsid w:val="00AD5E9D"/>
    <w:rsid w:val="00AE653F"/>
    <w:rsid w:val="00AF5B4B"/>
    <w:rsid w:val="00B0302F"/>
    <w:rsid w:val="00B06800"/>
    <w:rsid w:val="00B154B3"/>
    <w:rsid w:val="00B16101"/>
    <w:rsid w:val="00B24F6B"/>
    <w:rsid w:val="00B33B96"/>
    <w:rsid w:val="00B641BB"/>
    <w:rsid w:val="00BA3DD0"/>
    <w:rsid w:val="00BA76F5"/>
    <w:rsid w:val="00BB139B"/>
    <w:rsid w:val="00BB43C5"/>
    <w:rsid w:val="00BC1733"/>
    <w:rsid w:val="00BD0D33"/>
    <w:rsid w:val="00BD56E8"/>
    <w:rsid w:val="00BD5F4E"/>
    <w:rsid w:val="00BE4336"/>
    <w:rsid w:val="00BE50C7"/>
    <w:rsid w:val="00BF7CD1"/>
    <w:rsid w:val="00C00654"/>
    <w:rsid w:val="00C05B88"/>
    <w:rsid w:val="00C30585"/>
    <w:rsid w:val="00C51B7F"/>
    <w:rsid w:val="00C5791E"/>
    <w:rsid w:val="00C57F2E"/>
    <w:rsid w:val="00C76E12"/>
    <w:rsid w:val="00C87AA8"/>
    <w:rsid w:val="00C91676"/>
    <w:rsid w:val="00CA55E9"/>
    <w:rsid w:val="00CB036C"/>
    <w:rsid w:val="00CB697A"/>
    <w:rsid w:val="00CD623B"/>
    <w:rsid w:val="00CE2821"/>
    <w:rsid w:val="00CF5116"/>
    <w:rsid w:val="00CF7841"/>
    <w:rsid w:val="00D24D92"/>
    <w:rsid w:val="00D26243"/>
    <w:rsid w:val="00D31A11"/>
    <w:rsid w:val="00D35010"/>
    <w:rsid w:val="00D40669"/>
    <w:rsid w:val="00D43EC4"/>
    <w:rsid w:val="00D4654E"/>
    <w:rsid w:val="00D65CEB"/>
    <w:rsid w:val="00D67825"/>
    <w:rsid w:val="00D80552"/>
    <w:rsid w:val="00D86A79"/>
    <w:rsid w:val="00DD23A0"/>
    <w:rsid w:val="00DE0028"/>
    <w:rsid w:val="00DE0966"/>
    <w:rsid w:val="00DF40C3"/>
    <w:rsid w:val="00DF751F"/>
    <w:rsid w:val="00E219F2"/>
    <w:rsid w:val="00E22880"/>
    <w:rsid w:val="00E40967"/>
    <w:rsid w:val="00E431FB"/>
    <w:rsid w:val="00E43FD5"/>
    <w:rsid w:val="00E468C9"/>
    <w:rsid w:val="00E47601"/>
    <w:rsid w:val="00E5581F"/>
    <w:rsid w:val="00E75908"/>
    <w:rsid w:val="00E76557"/>
    <w:rsid w:val="00E8152B"/>
    <w:rsid w:val="00E94410"/>
    <w:rsid w:val="00EA7732"/>
    <w:rsid w:val="00EB5BBE"/>
    <w:rsid w:val="00ED2450"/>
    <w:rsid w:val="00ED536D"/>
    <w:rsid w:val="00F11A6C"/>
    <w:rsid w:val="00F126AF"/>
    <w:rsid w:val="00F22B04"/>
    <w:rsid w:val="00F318F1"/>
    <w:rsid w:val="00F35371"/>
    <w:rsid w:val="00F428D9"/>
    <w:rsid w:val="00F4572B"/>
    <w:rsid w:val="00F558DA"/>
    <w:rsid w:val="00F60A39"/>
    <w:rsid w:val="00F636CF"/>
    <w:rsid w:val="00F710C7"/>
    <w:rsid w:val="00F759F8"/>
    <w:rsid w:val="00F77565"/>
    <w:rsid w:val="00F80761"/>
    <w:rsid w:val="00F9157A"/>
    <w:rsid w:val="00FA5CE6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7D8C7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Grigg, Michael</cp:lastModifiedBy>
  <cp:revision>7</cp:revision>
  <cp:lastPrinted>2025-10-14T14:27:00Z</cp:lastPrinted>
  <dcterms:created xsi:type="dcterms:W3CDTF">2025-10-01T13:34:00Z</dcterms:created>
  <dcterms:modified xsi:type="dcterms:W3CDTF">2025-10-17T18:24:00Z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KCDE060</vt:lpwstr>
  </property>
  <property fmtid="{D5CDD505-2E9C-101B-9397-08002B2CF9AE}" pid="3" name="Product ID">
    <vt:lpwstr>97910</vt:lpwstr>
  </property>
  <property fmtid="{D5CDD505-2E9C-101B-9397-08002B2CF9AE}" pid="4" name="Product Level">
    <vt:lpwstr>255</vt:lpwstr>
  </property>
  <property fmtid="{D5CDD505-2E9C-101B-9397-08002B2CF9AE}" pid="5" name="Publish Date">
    <vt:lpwstr>OCTOBER / 2025</vt:lpwstr>
  </property>
  <property fmtid="{D5CDD505-2E9C-101B-9397-08002B2CF9AE}" pid="6" name="Product Trademark Title">
    <vt:lpwstr>OptiQ® AA® 4325 Series Windows 3-1/4” Depth (1” and 1-3/4" infill, 1" infill with blinds)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2021-07-09T18:09:45Z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
    </vt:lpwstr>
  </property>
  <property fmtid="{D5CDD505-2E9C-101B-9397-08002B2CF9AE}" pid="13" name="MSIP_Label_265bbeb9-6e1c-4ad3-8d2d-c2451bb5b595_ContentBits">
    <vt:lpwstr>0</vt:lpwstr>
  </property>
</Properties>
</file>